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Национальный проект «Образование»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drawing>
          <wp:inline distT="0" distB="0" distL="0" distR="0" wp14:anchorId="6F780E6C" wp14:editId="6BCE2C8F">
            <wp:extent cx="1696720" cy="1696720"/>
            <wp:effectExtent l="0" t="0" r="0" b="0"/>
            <wp:docPr id="52" name="Рисунок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sz w:val="24"/>
          <w:szCs w:val="24"/>
          <w:lang w:bidi="ar-SA"/>
        </w:rPr>
        <w:t>Национальный проект «Образование»</w:t>
      </w:r>
      <w:r w:rsidRPr="009206AC">
        <w:rPr>
          <w:rFonts w:eastAsia="Times New Roman" w:cs="Times New Roman"/>
          <w:sz w:val="24"/>
          <w:szCs w:val="24"/>
          <w:lang w:bidi="ar-SA"/>
        </w:rPr>
        <w:t> – это инициатива, направленная на достижение двух ключевых задач. Первая –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–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Национальный 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b/>
          <w:bCs/>
          <w:color w:val="363E51"/>
          <w:sz w:val="33"/>
          <w:szCs w:val="33"/>
          <w:lang w:bidi="ar-SA"/>
        </w:rPr>
      </w:pPr>
      <w:r w:rsidRPr="009206AC">
        <w:rPr>
          <w:rFonts w:eastAsia="Times New Roman" w:cs="Times New Roman"/>
          <w:b/>
          <w:bCs/>
          <w:color w:val="363E51"/>
          <w:sz w:val="33"/>
          <w:szCs w:val="33"/>
          <w:lang w:bidi="ar-SA"/>
        </w:rPr>
        <w:t>Сроки реализации: 01.01.2019 - 31.12.2024</w: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Федеральные проекты, входящие в национальный проект:</w:t>
      </w:r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8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Современная школа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9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Успех каждого ребенка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10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Поддержка семей, имеющих детей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11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Цифровая образовательная среда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12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Учитель будущего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lastRenderedPageBreak/>
        <w:t>›</w:t>
      </w:r>
      <w:hyperlink r:id="rId13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Молодые профессионалы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14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Новые возможности для каждого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15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Социальная активность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16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Экспорт образования</w:t>
        </w:r>
      </w:hyperlink>
    </w:p>
    <w:p w:rsidR="009206AC" w:rsidRPr="009206AC" w:rsidRDefault="009206AC" w:rsidP="009206AC">
      <w:pPr>
        <w:widowControl/>
        <w:numPr>
          <w:ilvl w:val="0"/>
          <w:numId w:val="1"/>
        </w:numPr>
        <w:autoSpaceDE/>
        <w:autoSpaceDN/>
        <w:spacing w:after="795"/>
        <w:ind w:left="-225"/>
        <w:rPr>
          <w:rFonts w:eastAsia="Times New Roman" w:cs="Times New Roman"/>
          <w:b/>
          <w:bCs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olor w:val="2865E9"/>
          <w:sz w:val="30"/>
          <w:szCs w:val="30"/>
          <w:lang w:bidi="ar-SA"/>
        </w:rPr>
        <w:t>›</w:t>
      </w:r>
      <w:hyperlink r:id="rId17" w:history="1">
        <w:r w:rsidRPr="009206AC">
          <w:rPr>
            <w:rFonts w:eastAsia="Times New Roman" w:cs="Times New Roman"/>
            <w:b/>
            <w:bCs/>
            <w:color w:val="154EC9"/>
            <w:sz w:val="24"/>
            <w:szCs w:val="24"/>
            <w:u w:val="single"/>
            <w:lang w:bidi="ar-SA"/>
          </w:rPr>
          <w:t>Социальные лифты для каждого</w:t>
        </w:r>
      </w:hyperlink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028D757F" wp14:editId="07E14B61">
                <wp:extent cx="307975" cy="307975"/>
                <wp:effectExtent l="0" t="0" r="0" b="0"/>
                <wp:docPr id="61" name="AutoShape 44" descr="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4" o:spid="_x0000_s1026" alt="diagram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IQuxdq8AgAA&#10;yQUAAA4AAAAAAAAAAAAAAAAALgIAAGRycy9lMm9Eb2MueG1sUEsBAi0AFAAGAAgAAAAhAPJdrh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Источники: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723,3 млрд руб. — федеральный бюджет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45,7 млрд руб. — бюджеты субъектов РФ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15,4 млрд руб. — внебюджетные источники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drawing>
          <wp:inline distT="0" distB="0" distL="0" distR="0" wp14:anchorId="636BEF4A" wp14:editId="3EC7CE4A">
            <wp:extent cx="1336675" cy="1336675"/>
            <wp:effectExtent l="0" t="0" r="0" b="0"/>
            <wp:docPr id="54" name="Рисунок 45" descr="phot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hoto-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caps/>
          <w:color w:val="212529"/>
          <w:sz w:val="21"/>
          <w:szCs w:val="21"/>
          <w:lang w:bidi="ar-SA"/>
        </w:rPr>
      </w:pPr>
      <w:r w:rsidRPr="009206AC">
        <w:rPr>
          <w:rFonts w:eastAsia="Times New Roman" w:cs="Times New Roman"/>
          <w:caps/>
          <w:color w:val="212529"/>
          <w:sz w:val="21"/>
          <w:szCs w:val="21"/>
          <w:lang w:bidi="ar-SA"/>
        </w:rPr>
        <w:t>КУРАТОР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b/>
          <w:bCs/>
          <w:caps/>
          <w:color w:val="363E51"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aps/>
          <w:color w:val="363E51"/>
          <w:sz w:val="24"/>
          <w:szCs w:val="24"/>
          <w:lang w:bidi="ar-SA"/>
        </w:rPr>
        <w:t>ТАТЬЯНА ГОЛИКОВА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0"/>
          <w:szCs w:val="20"/>
          <w:lang w:bidi="ar-SA"/>
        </w:rPr>
      </w:pPr>
      <w:r w:rsidRPr="009206AC">
        <w:rPr>
          <w:rFonts w:eastAsia="Times New Roman" w:cs="Times New Roman"/>
          <w:sz w:val="20"/>
          <w:szCs w:val="20"/>
          <w:lang w:bidi="ar-SA"/>
        </w:rPr>
        <w:t>Заместитель</w:t>
      </w:r>
      <w:r w:rsidRPr="009206AC">
        <w:rPr>
          <w:rFonts w:eastAsia="Times New Roman" w:cs="Times New Roman"/>
          <w:sz w:val="20"/>
          <w:szCs w:val="20"/>
          <w:lang w:bidi="ar-SA"/>
        </w:rPr>
        <w:br/>
        <w:t>Председателя Правительства</w:t>
      </w:r>
      <w:r w:rsidRPr="009206AC">
        <w:rPr>
          <w:rFonts w:eastAsia="Times New Roman" w:cs="Times New Roman"/>
          <w:sz w:val="20"/>
          <w:szCs w:val="20"/>
          <w:lang w:bidi="ar-SA"/>
        </w:rPr>
        <w:br/>
        <w:t>Российской Федерации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drawing>
          <wp:inline distT="0" distB="0" distL="0" distR="0" wp14:anchorId="111BBD08" wp14:editId="702F94D9">
            <wp:extent cx="1336675" cy="1336675"/>
            <wp:effectExtent l="0" t="0" r="0" b="0"/>
            <wp:docPr id="56" name="Рисунок 46" descr="phot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hoto-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caps/>
          <w:color w:val="212529"/>
          <w:sz w:val="21"/>
          <w:szCs w:val="21"/>
          <w:lang w:bidi="ar-SA"/>
        </w:rPr>
      </w:pPr>
      <w:r w:rsidRPr="009206AC">
        <w:rPr>
          <w:rFonts w:eastAsia="Times New Roman" w:cs="Times New Roman"/>
          <w:caps/>
          <w:color w:val="212529"/>
          <w:sz w:val="21"/>
          <w:szCs w:val="21"/>
          <w:lang w:bidi="ar-SA"/>
        </w:rPr>
        <w:t>РУКОВОДИТЕЛЬ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b/>
          <w:bCs/>
          <w:caps/>
          <w:color w:val="363E51"/>
          <w:sz w:val="24"/>
          <w:szCs w:val="24"/>
          <w:lang w:bidi="ar-SA"/>
        </w:rPr>
      </w:pPr>
      <w:r w:rsidRPr="009206AC">
        <w:rPr>
          <w:rFonts w:eastAsia="Times New Roman" w:cs="Times New Roman"/>
          <w:b/>
          <w:bCs/>
          <w:caps/>
          <w:color w:val="363E51"/>
          <w:sz w:val="24"/>
          <w:szCs w:val="24"/>
          <w:lang w:bidi="ar-SA"/>
        </w:rPr>
        <w:t>СЕРГЕЙ КРАВЦОВ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0"/>
          <w:szCs w:val="20"/>
          <w:lang w:bidi="ar-SA"/>
        </w:rPr>
      </w:pPr>
      <w:r w:rsidRPr="009206AC">
        <w:rPr>
          <w:rFonts w:eastAsia="Times New Roman" w:cs="Times New Roman"/>
          <w:sz w:val="20"/>
          <w:szCs w:val="20"/>
          <w:lang w:bidi="ar-SA"/>
        </w:rPr>
        <w:lastRenderedPageBreak/>
        <w:t>Министр просвещения</w:t>
      </w:r>
      <w:r w:rsidRPr="009206AC">
        <w:rPr>
          <w:rFonts w:eastAsia="Times New Roman" w:cs="Times New Roman"/>
          <w:sz w:val="20"/>
          <w:szCs w:val="20"/>
          <w:lang w:bidi="ar-SA"/>
        </w:rPr>
        <w:br/>
        <w:t>Российской Федерации</w:t>
      </w:r>
      <w:r w:rsidRPr="009206AC">
        <w:rPr>
          <w:rFonts w:eastAsia="Times New Roman" w:cs="Times New Roman"/>
          <w:sz w:val="20"/>
          <w:szCs w:val="20"/>
          <w:lang w:bidi="ar-SA"/>
        </w:rPr>
        <w:br/>
        <w:t> </w: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1.1. Средневзвешенный результат Российской Федерации в группе международных исследований качества общего образования, средневзвешенное место Российской Федерации (не ниже)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7DB99BBC" wp14:editId="549877FA">
                <wp:extent cx="307975" cy="307975"/>
                <wp:effectExtent l="0" t="0" r="0" b="0"/>
                <wp:docPr id="58" name="AutoShape 47" descr="base-v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7" o:spid="_x0000_s1026" alt="base-valu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EWObaW/&#10;AgAAzAUAAA4AAAAAAAAAAAAAAAAALgIAAGRycy9lMm9Eb2MueG1sUEsBAi0AFAAGAAgAAAAhAPJd&#10;rh3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drawing>
          <wp:inline distT="0" distB="0" distL="0" distR="0" wp14:anchorId="3A4D9383" wp14:editId="4D20EBB8">
            <wp:extent cx="5987415" cy="3534410"/>
            <wp:effectExtent l="0" t="0" r="0" b="8890"/>
            <wp:docPr id="57" name="Рисунок 48" descr="base-va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-valu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В Российской Федерации будет ликвидировано обучение в 3-ю смену к концу 2021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70%</w:t>
      </w:r>
      <w:r w:rsidRPr="009206AC">
        <w:rPr>
          <w:rFonts w:eastAsia="Times New Roman" w:cs="Times New Roman"/>
          <w:sz w:val="24"/>
          <w:szCs w:val="24"/>
          <w:lang w:bidi="ar-SA"/>
        </w:rPr>
        <w:t> обучающихся общеобразовательных организаций, осуществляющих образовательную деятельность по дополнительным общеобразовательным программам, будут вовлечены в различные формы сопровождения и наставничества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Обучающимся 5-11 классов будут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к концу 2024 г.</w:t>
      </w:r>
    </w:p>
    <w:p w:rsidR="009206AC" w:rsidRPr="009206AC" w:rsidRDefault="009206AC" w:rsidP="009206AC">
      <w:pPr>
        <w:widowControl/>
        <w:autoSpaceDE/>
        <w:autoSpaceDN/>
        <w:spacing w:after="100" w:afterAutospacing="1"/>
        <w:outlineLvl w:val="2"/>
        <w:rPr>
          <w:rFonts w:ascii="inherit" w:eastAsia="Times New Roman" w:hAnsi="inherit" w:cs="Times New Roman"/>
          <w:color w:val="363E51"/>
          <w:sz w:val="33"/>
          <w:szCs w:val="33"/>
          <w:lang w:bidi="ar-SA"/>
        </w:rPr>
      </w:pPr>
      <w:r w:rsidRPr="009206AC">
        <w:rPr>
          <w:rFonts w:ascii="inherit" w:eastAsia="Times New Roman" w:hAnsi="inherit" w:cs="Times New Roman"/>
          <w:color w:val="363E51"/>
          <w:sz w:val="33"/>
          <w:szCs w:val="33"/>
          <w:lang w:bidi="ar-SA"/>
        </w:rPr>
        <w:t>Будет создана сеть центров цифрового образования детей "IT-куб"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13A69494" wp14:editId="789EA324">
                <wp:extent cx="307975" cy="307975"/>
                <wp:effectExtent l="0" t="0" r="0" b="0"/>
                <wp:docPr id="55" name="AutoShape 49" descr="diagra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9" o:spid="_x0000_s1026" alt="diagramm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AsgdrtvQIA&#10;AMsFAAAOAAAAAAAAAAAAAAAAAC4CAABkcnMvZTJvRG9jLnhtbFBLAQItABQABgAIAAAAIQDyXa4d&#10;2QAAAAMBAAAPAAAAAAAAAAAAAAAAABc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24,5 тыс.</w:t>
      </w:r>
      <w:r w:rsidRPr="009206AC">
        <w:rPr>
          <w:rFonts w:eastAsia="Times New Roman" w:cs="Times New Roman"/>
          <w:sz w:val="24"/>
          <w:szCs w:val="24"/>
          <w:lang w:bidi="ar-SA"/>
        </w:rPr>
        <w:t> детей будет обучаться на вновь созданных местах в сельских школах и в школах, расположенных в поселках городского типа, к концу 2023 г. (тыс.)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inline distT="0" distB="0" distL="0" distR="0" wp14:anchorId="6025DFF3" wp14:editId="280D4DA3">
                <wp:extent cx="307975" cy="307975"/>
                <wp:effectExtent l="0" t="0" r="0" b="0"/>
                <wp:docPr id="53" name="AutoShape 50" descr="base-v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base-valu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I8Uxky/&#10;AgAAzAUAAA4AAAAAAAAAAAAAAAAALgIAAGRycy9lMm9Eb2MueG1sUEsBAi0AFAAGAAgAAAAhAPJd&#10;rh3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25 школ</w:t>
      </w:r>
      <w:r w:rsidRPr="009206AC">
        <w:rPr>
          <w:rFonts w:eastAsia="Times New Roman" w:cs="Times New Roman"/>
          <w:sz w:val="24"/>
          <w:szCs w:val="24"/>
          <w:lang w:bidi="ar-SA"/>
        </w:rPr>
        <w:t> будет построено и введено в эксплуатацию с привлечением частных инвестиций к концу 2024 года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230 тыс.</w:t>
      </w:r>
      <w:r w:rsidRPr="009206AC">
        <w:rPr>
          <w:rFonts w:eastAsia="Times New Roman" w:cs="Times New Roman"/>
          <w:sz w:val="24"/>
          <w:szCs w:val="24"/>
          <w:lang w:bidi="ar-SA"/>
        </w:rPr>
        <w:t> новых мест в общеобразовательных организациях (продолжение реализации приоритетного проекта «Современная образовательная среда для школьников») будут созданы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В 70%</w:t>
      </w:r>
      <w:r w:rsidRPr="009206AC">
        <w:rPr>
          <w:rFonts w:eastAsia="Times New Roman" w:cs="Times New Roman"/>
          <w:sz w:val="24"/>
          <w:szCs w:val="24"/>
          <w:lang w:bidi="ar-SA"/>
        </w:rPr>
        <w:t xml:space="preserve"> школ будет работать целевая модель вовлечения общественно-деловых объединений и участия представителей работодателей в принятии решений по вопросам управления общеобразовательными организациями, в 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т.ч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>. в обновлении образовательных программ,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На 100%</w:t>
      </w:r>
      <w:r w:rsidRPr="009206AC">
        <w:rPr>
          <w:rFonts w:eastAsia="Times New Roman" w:cs="Times New Roman"/>
          <w:sz w:val="24"/>
          <w:szCs w:val="24"/>
          <w:lang w:bidi="ar-SA"/>
        </w:rPr>
        <w:t> будет введена национальная система учительского роста педагогических работников к концу 2020 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70% учителей</w:t>
      </w:r>
      <w:r w:rsidRPr="009206AC">
        <w:rPr>
          <w:rFonts w:eastAsia="Times New Roman" w:cs="Times New Roman"/>
          <w:sz w:val="24"/>
          <w:szCs w:val="24"/>
          <w:lang w:bidi="ar-SA"/>
        </w:rPr>
        <w:t> в возрасте до 35 лет будут вовлечены в различные формы поддержки и сопровождения в первые три года работы,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Не менее 10%</w:t>
      </w:r>
      <w:r w:rsidRPr="009206AC">
        <w:rPr>
          <w:rFonts w:eastAsia="Times New Roman" w:cs="Times New Roman"/>
          <w:sz w:val="24"/>
          <w:szCs w:val="24"/>
          <w:lang w:bidi="ar-SA"/>
        </w:rPr>
        <w:t> педагогических работников систем общего образования и дополнительного образования детей пройдут добровольную независимую оценку профессиональной квалификации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50%</w:t>
      </w:r>
      <w:r w:rsidRPr="009206AC">
        <w:rPr>
          <w:rFonts w:eastAsia="Times New Roman" w:cs="Times New Roman"/>
          <w:sz w:val="24"/>
          <w:szCs w:val="24"/>
          <w:lang w:bidi="ar-SA"/>
        </w:rPr>
        <w:t> педагогических работников системы общего, дополнительного образования детей и профессионального образования повысят уровень профессионального мастерства в форматах непрерывного образования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Не менее </w:t>
      </w:r>
      <w:r w:rsidRPr="009206AC">
        <w:rPr>
          <w:rFonts w:eastAsia="Times New Roman" w:cs="Times New Roman"/>
          <w:sz w:val="45"/>
          <w:szCs w:val="45"/>
          <w:lang w:bidi="ar-SA"/>
        </w:rPr>
        <w:t>900 тыс. детей</w:t>
      </w:r>
      <w:r w:rsidRPr="009206AC">
        <w:rPr>
          <w:rFonts w:eastAsia="Times New Roman" w:cs="Times New Roman"/>
          <w:sz w:val="24"/>
          <w:szCs w:val="24"/>
          <w:lang w:bidi="ar-SA"/>
        </w:rPr>
        <w:t> получат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«Билет в будущее»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5% обучающихся</w:t>
      </w:r>
      <w:r w:rsidRPr="009206AC">
        <w:rPr>
          <w:rFonts w:eastAsia="Times New Roman" w:cs="Times New Roman"/>
          <w:sz w:val="24"/>
          <w:szCs w:val="24"/>
          <w:lang w:bidi="ar-SA"/>
        </w:rPr>
        <w:t> по программам основного и среднего общего образования пройдут обучение в созданных в каждом субъекте РФ региональных центрах выявления, поддержки и развития способностей и талантов у детей и молодежи, функционирующих с учетом опыта Образовательного фонда «Талант и успех»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В 85 субъектах РФ</w:t>
      </w:r>
      <w:r w:rsidRPr="009206AC">
        <w:rPr>
          <w:rFonts w:eastAsia="Times New Roman" w:cs="Times New Roman"/>
          <w:sz w:val="24"/>
          <w:szCs w:val="24"/>
          <w:lang w:bidi="ar-SA"/>
        </w:rPr>
        <w:t> будет проведена оценка качества общего образования на основе практики международных исследований качества подготовки обучающихся в общеобразовательных организациях РФ к концу 2024 г.</w: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Модернизация профессионального образования, в том числе посредством внедрения адаптивных, практико- ориентированных и гибких образовательных программ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 wp14:anchorId="4FC07BC3" wp14:editId="2658CCEC">
            <wp:extent cx="5794375" cy="3349625"/>
            <wp:effectExtent l="0" t="0" r="0" b="3175"/>
            <wp:docPr id="59" name="Рисунок 51" descr="base-va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-valu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 xml:space="preserve">Мировой чемпионат по профессиональному мастерству по стандартам 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Ворлдскиллс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 xml:space="preserve"> пройдет в г. Казани в августе 2019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Будет обновлена инфраструктура Всероссийского учебно-тренировочного центра профессионального мастерства на базе ВДЦ «Смена» к концу сентября 2021 г.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63B5A140" wp14:editId="49F7FECC">
                <wp:extent cx="307975" cy="307975"/>
                <wp:effectExtent l="0" t="0" r="0" b="0"/>
                <wp:docPr id="51" name="AutoShape 52" descr="moder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2" o:spid="_x0000_s1026" alt="modern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1avNH7sCAADI&#10;BQAADgAAAAAAAAAAAAAAAAAuAgAAZHJzL2Uyb0RvYy54bWxQSwECLQAUAAYACAAAACEA8l2uH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85 субъектов РФ</w:t>
      </w:r>
      <w:r w:rsidRPr="009206AC">
        <w:rPr>
          <w:rFonts w:eastAsia="Times New Roman" w:cs="Times New Roman"/>
          <w:sz w:val="24"/>
          <w:szCs w:val="24"/>
          <w:lang w:bidi="ar-SA"/>
        </w:rPr>
        <w:t xml:space="preserve"> внедрят программы профессионального обучения по наиболее востребованным и перспективным профессиям на уровне, соответствующем стандартам 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Ворлдскиллс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>, с учетом продолжительности программ не более 6 месяцев, к концу 2023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35 тыс. преподавателей-мастеров</w:t>
      </w:r>
      <w:r w:rsidRPr="009206AC">
        <w:rPr>
          <w:rFonts w:eastAsia="Times New Roman" w:cs="Times New Roman"/>
          <w:sz w:val="24"/>
          <w:szCs w:val="24"/>
          <w:lang w:bidi="ar-SA"/>
        </w:rPr>
        <w:t xml:space="preserve"> производственного обучения повысят квалификацию по программам, основанным на опыте Союза 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Ворлдскиллс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 xml:space="preserve"> Россия, не менее 10 тыс. из них — будут сертифицированы в качестве экспертов — к концу 2024 г.</w: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1.2. Место Российской Федерации в мире по присутствию университетов в топ-500 глобальных рейтингов университетов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26728C70" wp14:editId="13825AF1">
                <wp:extent cx="307975" cy="307975"/>
                <wp:effectExtent l="0" t="0" r="0" b="0"/>
                <wp:docPr id="50" name="AutoShape 53" descr="base-v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3" o:spid="_x0000_s1026" alt="base-valu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BGesve/&#10;AgAAzAUAAA4AAAAAAAAAAAAAAAAALgIAAGRycy9lMm9Eb2MueG1sUEsBAi0AFAAGAAgAAAAhAPJd&#10;rh3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 wp14:anchorId="6D7F51F3" wp14:editId="4877DA24">
            <wp:extent cx="6031230" cy="3490595"/>
            <wp:effectExtent l="0" t="0" r="7620" b="0"/>
            <wp:docPr id="60" name="Рисунок 60" descr="base-va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-valu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30 университетов</w:t>
      </w:r>
      <w:r w:rsidRPr="009206AC">
        <w:rPr>
          <w:rFonts w:eastAsia="Times New Roman" w:cs="Times New Roman"/>
          <w:sz w:val="24"/>
          <w:szCs w:val="24"/>
          <w:lang w:bidi="ar-SA"/>
        </w:rPr>
        <w:t> (не менее 1 в каждом федеральном округе и не менее чем в 10 субъектах Российской Федерации) получат государственную поддержку на основании конкурсного отбора к концу 2020 г., будут сформированы (актуализированы) их программы развития («дорожные карты») с учетом национальных целей Российской Федерации до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80 вузов из 40 субъектов РФ</w:t>
      </w:r>
      <w:r w:rsidRPr="009206AC">
        <w:rPr>
          <w:rFonts w:eastAsia="Times New Roman" w:cs="Times New Roman"/>
          <w:sz w:val="24"/>
          <w:szCs w:val="24"/>
          <w:lang w:bidi="ar-SA"/>
        </w:rPr>
        <w:t> будут включены в перечень образовательных организаций высшего образования, обеспечивающий подготовку кадров для базовых отраслей экономики и социальной сферы, в том числе в целях предоставления государственной поддержки, к концу 2019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20% студентов</w:t>
      </w:r>
      <w:r w:rsidRPr="009206AC">
        <w:rPr>
          <w:rFonts w:eastAsia="Times New Roman" w:cs="Times New Roman"/>
          <w:sz w:val="24"/>
          <w:szCs w:val="24"/>
          <w:lang w:bidi="ar-SA"/>
        </w:rPr>
        <w:t> будут осваивать отдельные курсы, дисциплины (модули), в том числе в формате онлайн-курсов, с использованием ресурсов иных организаций, осуществляющих образовательную деятельность, в том числе университетов, обеспечивающих соответствие качества подготовки обучающихся мировому уровню, к концу 2024  г.</w:t>
      </w:r>
    </w:p>
    <w:p w:rsidR="009206AC" w:rsidRPr="009206AC" w:rsidRDefault="009206AC" w:rsidP="009206AC">
      <w:pPr>
        <w:widowControl/>
        <w:autoSpaceDE/>
        <w:autoSpaceDN/>
        <w:spacing w:after="100" w:afterAutospacing="1"/>
        <w:outlineLvl w:val="4"/>
        <w:rPr>
          <w:rFonts w:ascii="inherit" w:eastAsia="Times New Roman" w:hAnsi="inherit" w:cs="Times New Roman"/>
          <w:b/>
          <w:bCs/>
          <w:color w:val="363E51"/>
          <w:sz w:val="33"/>
          <w:szCs w:val="33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63E51"/>
          <w:sz w:val="33"/>
          <w:szCs w:val="33"/>
          <w:lang w:bidi="ar-SA"/>
        </w:rPr>
        <w:t>Обучение по программам непрерывного образования в образовательных организациях высшего образования, реализующих дополнительные образовательные программы и программы профессионального обучения пройдут (млн чел.)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137C0D1A" wp14:editId="190F6A80">
                <wp:extent cx="307975" cy="307975"/>
                <wp:effectExtent l="0" t="0" r="0" b="0"/>
                <wp:docPr id="49" name="AutoShape 55" descr="obuche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5" o:spid="_x0000_s1026" alt="obucheni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2.1. Доля детей в возрасте от 5 до 18 лет, охваченных дополнительным образованием (%)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inline distT="0" distB="0" distL="0" distR="0" wp14:anchorId="1AC4F7CB" wp14:editId="1162F546">
                <wp:extent cx="307975" cy="307975"/>
                <wp:effectExtent l="0" t="0" r="0" b="0"/>
                <wp:docPr id="48" name="AutoShape 56" descr="base-v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6" o:spid="_x0000_s1026" alt="base-valu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OdA1Dm/&#10;AgAAzAUAAA4AAAAAAAAAAAAAAAAALgIAAGRycy9lMm9Eb2MueG1sUEsBAi0AFAAGAAgAAAAhAPJd&#10;rh3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drawing>
          <wp:inline distT="0" distB="0" distL="0" distR="0" wp14:anchorId="66604B28" wp14:editId="17301FEA">
            <wp:extent cx="5987415" cy="3534410"/>
            <wp:effectExtent l="0" t="0" r="0" b="8890"/>
            <wp:docPr id="62" name="Рисунок 62" descr="base-va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-valu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12 млн детей</w:t>
      </w:r>
      <w:r w:rsidRPr="009206AC">
        <w:rPr>
          <w:rFonts w:eastAsia="Times New Roman" w:cs="Times New Roman"/>
          <w:sz w:val="24"/>
          <w:szCs w:val="24"/>
          <w:lang w:bidi="ar-SA"/>
        </w:rPr>
        <w:t> примут участие в открытых онлайн-уроках, реализуемых с учетом опыта цикла открытых уроков «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Проектория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>», направленных на раннюю профориентацию,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900 тыс. детей</w:t>
      </w:r>
      <w:r w:rsidRPr="009206AC">
        <w:rPr>
          <w:rFonts w:eastAsia="Times New Roman" w:cs="Times New Roman"/>
          <w:sz w:val="24"/>
          <w:szCs w:val="24"/>
          <w:lang w:bidi="ar-SA"/>
        </w:rPr>
        <w:t> получат рекомендации по построению индивидуального учебного плана в соответствии с выбранными профессиональными компетенциями с учетом реализации проекта «Билет в будущее»,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Для 935 тыс. детей</w:t>
      </w:r>
      <w:r w:rsidRPr="009206AC">
        <w:rPr>
          <w:rFonts w:eastAsia="Times New Roman" w:cs="Times New Roman"/>
          <w:sz w:val="24"/>
          <w:szCs w:val="24"/>
          <w:lang w:bidi="ar-SA"/>
        </w:rPr>
        <w:t> не менее чем в 7000 образовательных организаций, расположенных в сельской местности, будет обновлена материально-техническая база для занятий физической культурой и спортом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652CE707" wp14:editId="06A7E5EB">
                <wp:extent cx="307975" cy="307975"/>
                <wp:effectExtent l="0" t="0" r="0" b="0"/>
                <wp:docPr id="47" name="AutoShape 58" descr="child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8" o:spid="_x0000_s1026" alt="children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Будут созданы</w:t>
      </w:r>
      <w:r w:rsidRPr="009206AC">
        <w:rPr>
          <w:rFonts w:eastAsia="Times New Roman" w:cs="Times New Roman"/>
          <w:sz w:val="45"/>
          <w:szCs w:val="45"/>
          <w:lang w:bidi="ar-SA"/>
        </w:rPr>
        <w:t>100 центров</w:t>
      </w:r>
      <w:r w:rsidRPr="009206AC">
        <w:rPr>
          <w:rFonts w:eastAsia="Times New Roman" w:cs="Times New Roman"/>
          <w:sz w:val="24"/>
          <w:szCs w:val="24"/>
          <w:lang w:bidi="ar-SA"/>
        </w:rPr>
        <w:t>, реализующих дополнительные общеобразовательные программы в вузах *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br/>
      </w: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467CBA26" wp14:editId="39FE10AF">
                <wp:extent cx="307975" cy="307975"/>
                <wp:effectExtent l="0" t="0" r="0" b="0"/>
                <wp:docPr id="46" name="AutoShape 59" descr="cen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9" o:spid="_x0000_s1026" alt="centers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Gk7Mo28AgAA&#10;yQUAAA4AAAAAAAAAAAAAAAAALgIAAGRycy9lMm9Eb2MueG1sUEsBAi0AFAAGAAgAAAAhAPJdrh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В 85 субъектах РФ 245 детских технопарков</w:t>
      </w:r>
      <w:r w:rsidRPr="009206AC">
        <w:rPr>
          <w:rFonts w:eastAsia="Times New Roman" w:cs="Times New Roman"/>
          <w:sz w:val="24"/>
          <w:szCs w:val="24"/>
          <w:lang w:bidi="ar-SA"/>
        </w:rPr>
        <w:t> «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Кванториум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>» и 340 мобильных технопарков для детей, проживающих в сельской местности и малых городах, будут построены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Их смогут посещать </w:t>
      </w:r>
      <w:r w:rsidRPr="009206AC">
        <w:rPr>
          <w:rFonts w:eastAsia="Times New Roman" w:cs="Times New Roman"/>
          <w:sz w:val="45"/>
          <w:szCs w:val="45"/>
          <w:lang w:bidi="ar-SA"/>
        </w:rPr>
        <w:t>2 млн детей</w:t>
      </w:r>
      <w:r w:rsidRPr="009206AC">
        <w:rPr>
          <w:rFonts w:eastAsia="Times New Roman" w:cs="Times New Roman"/>
          <w:sz w:val="24"/>
          <w:szCs w:val="24"/>
          <w:lang w:bidi="ar-SA"/>
        </w:rPr>
        <w:t>, которые смогут изучать «Технологию» и другие предметные области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lastRenderedPageBreak/>
        <w:t>Не менее чем в 16 тыс. школ</w:t>
      </w:r>
      <w:r w:rsidRPr="009206AC">
        <w:rPr>
          <w:rFonts w:eastAsia="Times New Roman" w:cs="Times New Roman"/>
          <w:sz w:val="24"/>
          <w:szCs w:val="24"/>
          <w:lang w:bidi="ar-SA"/>
        </w:rPr>
        <w:t> не менее чем в 80 субъектах Российской Федерации, расположенных в сельской местности и малых городах, будет создана материально-техническая база для реализации основных и дополнительных общеобразовательных программ цифрового, естественно-научного, технического и гуманитарного профилей с охватом не менее </w:t>
      </w:r>
      <w:r w:rsidRPr="009206AC">
        <w:rPr>
          <w:rFonts w:eastAsia="Times New Roman" w:cs="Times New Roman"/>
          <w:sz w:val="45"/>
          <w:szCs w:val="45"/>
          <w:lang w:bidi="ar-SA"/>
        </w:rPr>
        <w:t>800 тыс. детей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Ученикам 5-11 классов</w:t>
      </w:r>
      <w:r w:rsidRPr="009206AC">
        <w:rPr>
          <w:rFonts w:eastAsia="Times New Roman" w:cs="Times New Roman"/>
          <w:sz w:val="24"/>
          <w:szCs w:val="24"/>
          <w:lang w:bidi="ar-SA"/>
        </w:rPr>
        <w:t> будут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70% детей с ограниченными возможностями здоровья</w:t>
      </w:r>
      <w:r w:rsidRPr="009206AC">
        <w:rPr>
          <w:rFonts w:eastAsia="Times New Roman" w:cs="Times New Roman"/>
          <w:sz w:val="24"/>
          <w:szCs w:val="24"/>
          <w:lang w:bidi="ar-SA"/>
        </w:rPr>
        <w:t> будут обучаться по дополнительным общеобразовательным программам, в том числе с использованием дистанционных технологий (%)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69637F06" wp14:editId="290CF694">
                <wp:extent cx="307975" cy="307975"/>
                <wp:effectExtent l="0" t="0" r="0" b="0"/>
                <wp:docPr id="45" name="AutoShape 60" descr="cen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0" o:spid="_x0000_s1026" alt="centers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y/va/LsCAADJ&#10;BQAADgAAAAAAAAAAAAAAAAAuAgAAZHJzL2Uyb0RvYy54bWxQSwECLQAUAAYACAAAACEA8l2uH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2.2. 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 (млн человек) *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6AB657C4" wp14:editId="7051FBE7">
                <wp:extent cx="307975" cy="307975"/>
                <wp:effectExtent l="0" t="0" r="0" b="0"/>
                <wp:docPr id="44" name="AutoShape 61" descr="base-v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1" o:spid="_x0000_s1026" alt="base-valu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FxWiyy/&#10;AgAAzAUAAA4AAAAAAAAAAAAAAAAALgIAAGRycy9lMm9Eb2MueG1sUEsBAi0AFAAGAAgAAAAhAPJd&#10;rh3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w:drawing>
          <wp:inline distT="0" distB="0" distL="0" distR="0" wp14:anchorId="0529367F" wp14:editId="191C636E">
            <wp:extent cx="5987415" cy="3534410"/>
            <wp:effectExtent l="0" t="0" r="0" b="8890"/>
            <wp:docPr id="63" name="Рисунок 63" descr="base-va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-valu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lastRenderedPageBreak/>
        <w:t>В 85 субъектах РФ</w:t>
      </w:r>
      <w:r w:rsidRPr="009206AC">
        <w:rPr>
          <w:rFonts w:eastAsia="Times New Roman" w:cs="Times New Roman"/>
          <w:sz w:val="24"/>
          <w:szCs w:val="24"/>
          <w:lang w:bidi="ar-SA"/>
        </w:rPr>
        <w:t> будет создана и внедрена система социальной поддержки граждан, систематически участвующих в добровольческих (волонтерских) проектах:</w:t>
      </w:r>
    </w:p>
    <w:p w:rsidR="009206AC" w:rsidRPr="009206AC" w:rsidRDefault="009206AC" w:rsidP="009206AC">
      <w:pPr>
        <w:widowControl/>
        <w:numPr>
          <w:ilvl w:val="0"/>
          <w:numId w:val="2"/>
        </w:numPr>
        <w:autoSpaceDE/>
        <w:autoSpaceDN/>
        <w:spacing w:before="100" w:beforeAutospacing="1" w:after="150"/>
        <w:jc w:val="both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обеспечены персонализированный учет волонтеров, организаций, развивающих волонтерскую деятельность;</w:t>
      </w:r>
    </w:p>
    <w:p w:rsidR="009206AC" w:rsidRPr="009206AC" w:rsidRDefault="009206AC" w:rsidP="009206AC">
      <w:pPr>
        <w:widowControl/>
        <w:numPr>
          <w:ilvl w:val="0"/>
          <w:numId w:val="2"/>
        </w:numPr>
        <w:autoSpaceDE/>
        <w:autoSpaceDN/>
        <w:spacing w:before="100" w:beforeAutospacing="1" w:after="150"/>
        <w:jc w:val="both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будет повышен уровень мобильности в целях участия в волонтерских мероприятиях и обучающих стажировках, проводимых в субъектах Российской Федерации;</w:t>
      </w:r>
    </w:p>
    <w:p w:rsidR="009206AC" w:rsidRPr="009206AC" w:rsidRDefault="009206AC" w:rsidP="009206AC">
      <w:pPr>
        <w:widowControl/>
        <w:numPr>
          <w:ilvl w:val="0"/>
          <w:numId w:val="2"/>
        </w:numPr>
        <w:autoSpaceDE/>
        <w:autoSpaceDN/>
        <w:spacing w:before="100" w:beforeAutospacing="1" w:after="150"/>
        <w:jc w:val="both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будут учреждены награды и звания, стипендиальная поддержка (для обучающихся);</w:t>
      </w:r>
    </w:p>
    <w:p w:rsidR="009206AC" w:rsidRPr="009206AC" w:rsidRDefault="009206AC" w:rsidP="009206AC">
      <w:pPr>
        <w:widowControl/>
        <w:numPr>
          <w:ilvl w:val="0"/>
          <w:numId w:val="2"/>
        </w:numPr>
        <w:autoSpaceDE/>
        <w:autoSpaceDN/>
        <w:spacing w:before="100" w:beforeAutospacing="1" w:after="150"/>
        <w:jc w:val="both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нематериальная поддержка граждан, участвующих в добровольческой деятельности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25 тыс. специалистов</w:t>
      </w:r>
      <w:r w:rsidRPr="009206AC">
        <w:rPr>
          <w:rFonts w:eastAsia="Times New Roman" w:cs="Times New Roman"/>
          <w:sz w:val="24"/>
          <w:szCs w:val="24"/>
          <w:lang w:bidi="ar-SA"/>
        </w:rPr>
        <w:t> по работе в сфере добровольчества и технологий работы с волонтерами пройдут подготовку на базе центров поддержки добровольчества (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волонтерства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>), НКО, образовательных организаций и иных учреждений, осуществляющих деятельность в сфере добровольчества, к концу 2024 г.</w:t>
      </w:r>
    </w:p>
    <w:p w:rsidR="009206AC" w:rsidRPr="009206AC" w:rsidRDefault="009206AC" w:rsidP="009206AC">
      <w:pPr>
        <w:widowControl/>
        <w:autoSpaceDE/>
        <w:autoSpaceDN/>
        <w:spacing w:after="100" w:afterAutospacing="1"/>
        <w:outlineLvl w:val="4"/>
        <w:rPr>
          <w:rFonts w:ascii="inherit" w:eastAsia="Times New Roman" w:hAnsi="inherit" w:cs="Times New Roman"/>
          <w:b/>
          <w:bCs/>
          <w:color w:val="363E51"/>
          <w:sz w:val="33"/>
          <w:szCs w:val="33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63E51"/>
          <w:sz w:val="33"/>
          <w:szCs w:val="33"/>
          <w:lang w:bidi="ar-SA"/>
        </w:rPr>
        <w:t>До конца 2024 года будут проведены мероприятия по различным направлениям добровольчества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2423F09E" wp14:editId="11D29F0A">
                <wp:extent cx="307975" cy="307975"/>
                <wp:effectExtent l="0" t="0" r="0" b="0"/>
                <wp:docPr id="43" name="AutoShape 63" descr="hi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3" o:spid="_x0000_s1026" alt="high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CXdzoUugIAAMYF&#10;AAAOAAAAAAAAAAAAAAAAAC4CAABkcnMvZTJvRG9jLnhtbFBLAQItABQABgAIAAAAIQDyXa4d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1100 тыс. человек</w:t>
      </w:r>
      <w:r w:rsidRPr="009206AC">
        <w:rPr>
          <w:rFonts w:eastAsia="Times New Roman" w:cs="Times New Roman"/>
          <w:sz w:val="24"/>
          <w:szCs w:val="24"/>
          <w:lang w:bidi="ar-SA"/>
        </w:rPr>
        <w:t> будут использовать единую информационную систему в сфере развития добровольчества, для эффективного поиска информации, взаимодействия, коммуникации и обучения добровольцев, комплексного учета волонтерского опыта и компетенций, объединения запросов и предложений волонтерской помощи в одном месте, к концу 2024 г.</w:t>
      </w:r>
    </w:p>
    <w:p w:rsidR="009206AC" w:rsidRPr="009206AC" w:rsidRDefault="009206AC" w:rsidP="009206AC">
      <w:pPr>
        <w:widowControl/>
        <w:autoSpaceDE/>
        <w:autoSpaceDN/>
        <w:spacing w:after="630"/>
        <w:outlineLvl w:val="1"/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</w:pPr>
      <w:r w:rsidRPr="009206AC">
        <w:rPr>
          <w:rFonts w:ascii="inherit" w:eastAsia="Times New Roman" w:hAnsi="inherit" w:cs="Times New Roman"/>
          <w:b/>
          <w:bCs/>
          <w:color w:val="3C4355"/>
          <w:sz w:val="39"/>
          <w:szCs w:val="39"/>
          <w:lang w:bidi="ar-SA"/>
        </w:rPr>
        <w:t>Дополнительные результаты национального проекта</w:t>
      </w:r>
    </w:p>
    <w:p w:rsidR="009206AC" w:rsidRPr="009206AC" w:rsidRDefault="009206AC" w:rsidP="009206AC">
      <w:pPr>
        <w:widowControl/>
        <w:autoSpaceDE/>
        <w:autoSpaceDN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1,7 млн граждан</w:t>
      </w:r>
      <w:r w:rsidRPr="009206AC">
        <w:rPr>
          <w:rFonts w:eastAsia="Times New Roman" w:cs="Times New Roman"/>
          <w:sz w:val="24"/>
          <w:szCs w:val="24"/>
          <w:lang w:bidi="ar-SA"/>
        </w:rPr>
        <w:t> примут участие в 35 конкурсах профессионального и карьерного роста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 xml:space="preserve">Будет внедрена система мониторинга трудоустройства выпускников вузов, учитывающая удовлетворенность работодателей качеством подготовки выпускников в разрезе указанных организаций и реализуемых ими образовательных программ, а также соответствие направлений подготовки региональным рынкам труда и отраслевой структуре экономики, с учетом сектора 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самозанятости</w:t>
      </w:r>
      <w:proofErr w:type="spellEnd"/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60 университетов</w:t>
      </w:r>
      <w:r w:rsidRPr="009206AC">
        <w:rPr>
          <w:rFonts w:eastAsia="Times New Roman" w:cs="Times New Roman"/>
          <w:sz w:val="24"/>
          <w:szCs w:val="24"/>
          <w:lang w:bidi="ar-SA"/>
        </w:rPr>
        <w:t> будут реализовывать не менее чем по </w:t>
      </w:r>
      <w:r w:rsidRPr="009206AC">
        <w:rPr>
          <w:rFonts w:eastAsia="Times New Roman" w:cs="Times New Roman"/>
          <w:sz w:val="45"/>
          <w:szCs w:val="45"/>
          <w:lang w:bidi="ar-SA"/>
        </w:rPr>
        <w:t>5</w:t>
      </w:r>
      <w:r w:rsidRPr="009206AC">
        <w:rPr>
          <w:rFonts w:eastAsia="Times New Roman" w:cs="Times New Roman"/>
          <w:sz w:val="24"/>
          <w:szCs w:val="24"/>
          <w:lang w:bidi="ar-SA"/>
        </w:rPr>
        <w:t> образовательных программ, прошедших международную аккредитацию,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lastRenderedPageBreak/>
        <w:t>В 2 раза</w:t>
      </w:r>
      <w:r w:rsidRPr="009206AC">
        <w:rPr>
          <w:rFonts w:eastAsia="Times New Roman" w:cs="Times New Roman"/>
          <w:sz w:val="24"/>
          <w:szCs w:val="24"/>
          <w:lang w:bidi="ar-SA"/>
        </w:rPr>
        <w:t> будет увеличено количество иностранных студентов, обучающихся в российских вузах (до 425 тыс. человек),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77,6 тыс. новых</w:t>
      </w:r>
      <w:r w:rsidRPr="009206AC">
        <w:rPr>
          <w:rFonts w:eastAsia="Times New Roman" w:cs="Times New Roman"/>
          <w:sz w:val="24"/>
          <w:szCs w:val="24"/>
          <w:lang w:bidi="ar-SA"/>
        </w:rPr>
        <w:t> мест появятся в студенческих городках для проживания иностранных и иногородних студентов и преподавателей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50 ресурсных центров</w:t>
      </w:r>
      <w:r w:rsidRPr="009206AC">
        <w:rPr>
          <w:rFonts w:eastAsia="Times New Roman" w:cs="Times New Roman"/>
          <w:sz w:val="24"/>
          <w:szCs w:val="24"/>
          <w:lang w:bidi="ar-SA"/>
        </w:rPr>
        <w:t> будут созданы для детей и педагогов с обучением на русском языке в странах-партнерах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18 тыс. иностранных граждан</w:t>
      </w:r>
      <w:r w:rsidRPr="009206AC">
        <w:rPr>
          <w:rFonts w:eastAsia="Times New Roman" w:cs="Times New Roman"/>
          <w:sz w:val="24"/>
          <w:szCs w:val="24"/>
          <w:lang w:bidi="ar-SA"/>
        </w:rPr>
        <w:t xml:space="preserve"> пройдут обучение в летних и зимних школах, в 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т.ч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>. на базе летних оздоровительных лагерей,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24"/>
          <w:szCs w:val="24"/>
          <w:lang w:bidi="ar-SA"/>
        </w:rPr>
        <w:t>Ежегодно будет проводиться национальный чемпионат «</w:t>
      </w:r>
      <w:proofErr w:type="spellStart"/>
      <w:r w:rsidRPr="009206AC">
        <w:rPr>
          <w:rFonts w:eastAsia="Times New Roman" w:cs="Times New Roman"/>
          <w:sz w:val="24"/>
          <w:szCs w:val="24"/>
          <w:lang w:bidi="ar-SA"/>
        </w:rPr>
        <w:t>Абилимпикс</w:t>
      </w:r>
      <w:proofErr w:type="spellEnd"/>
      <w:r w:rsidRPr="009206AC">
        <w:rPr>
          <w:rFonts w:eastAsia="Times New Roman" w:cs="Times New Roman"/>
          <w:sz w:val="24"/>
          <w:szCs w:val="24"/>
          <w:lang w:bidi="ar-SA"/>
        </w:rPr>
        <w:t>», организованы мероприятия по подготовке национальной сборной для участия в международных и национальных чемпионатах профессионального мастерства для людей с инвалидностью — к концу 2024 г.</w:t>
      </w:r>
    </w:p>
    <w:p w:rsidR="009206AC" w:rsidRPr="009206AC" w:rsidRDefault="009206AC" w:rsidP="009206AC">
      <w:pPr>
        <w:widowControl/>
        <w:autoSpaceDE/>
        <w:autoSpaceDN/>
        <w:spacing w:before="150"/>
        <w:rPr>
          <w:rFonts w:eastAsia="Times New Roman" w:cs="Times New Roman"/>
          <w:sz w:val="24"/>
          <w:szCs w:val="24"/>
          <w:lang w:bidi="ar-SA"/>
        </w:rPr>
      </w:pPr>
      <w:r w:rsidRPr="009206AC">
        <w:rPr>
          <w:rFonts w:eastAsia="Times New Roman" w:cs="Times New Roman"/>
          <w:sz w:val="45"/>
          <w:szCs w:val="45"/>
          <w:lang w:bidi="ar-SA"/>
        </w:rPr>
        <w:t>В 85 субъектах РФ</w:t>
      </w:r>
      <w:r w:rsidRPr="009206AC">
        <w:rPr>
          <w:rFonts w:eastAsia="Times New Roman" w:cs="Times New Roman"/>
          <w:sz w:val="24"/>
          <w:szCs w:val="24"/>
          <w:lang w:bidi="ar-SA"/>
        </w:rPr>
        <w:t> родителям детей, получающих дошкольное образование в семье, а также гражданам, желающим принять на воспитание в свои семьи детей, оставшихся без попечения родителей, с привлечением НКО окажут 20 млн услуг психолого-педагогической, методической и консультативной помощи к концу 2024  г.</w:t>
      </w:r>
    </w:p>
    <w:p w:rsidR="00513D5B" w:rsidRDefault="00513D5B">
      <w:bookmarkStart w:id="0" w:name="_GoBack"/>
      <w:bookmarkEnd w:id="0"/>
    </w:p>
    <w:sectPr w:rsidR="0051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51F0"/>
    <w:multiLevelType w:val="multilevel"/>
    <w:tmpl w:val="6F824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A17A3"/>
    <w:multiLevelType w:val="multilevel"/>
    <w:tmpl w:val="172E8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2"/>
    <w:rsid w:val="00151E64"/>
    <w:rsid w:val="001D0A9F"/>
    <w:rsid w:val="00513D5B"/>
    <w:rsid w:val="008342F4"/>
    <w:rsid w:val="008453C2"/>
    <w:rsid w:val="009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206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6AC"/>
    <w:rPr>
      <w:rFonts w:ascii="Tahoma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9206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6AC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063">
              <w:marLeft w:val="0"/>
              <w:marRight w:val="84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743">
              <w:marLeft w:val="3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2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55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8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9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145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394">
              <w:marLeft w:val="0"/>
              <w:marRight w:val="84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663">
              <w:marLeft w:val="3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2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02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5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3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158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341">
              <w:marLeft w:val="0"/>
              <w:marRight w:val="84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2959">
              <w:marLeft w:val="3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5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76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9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0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065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13" Type="http://schemas.openxmlformats.org/officeDocument/2006/relationships/hyperlink" Target="https://edu.gov.ru/national-project/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image" Target="media/image1.png"/><Relationship Id="rId12" Type="http://schemas.openxmlformats.org/officeDocument/2006/relationships/hyperlink" Target="https://edu.gov.ru/national-project/" TargetMode="External"/><Relationship Id="rId17" Type="http://schemas.openxmlformats.org/officeDocument/2006/relationships/hyperlink" Target="https://edu.gov.ru/national-projec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.gov.ru/national-project/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gov.ru/national-project/" TargetMode="External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hyperlink" Target="https://edu.gov.ru/national-project/" TargetMode="External"/><Relationship Id="rId23" Type="http://schemas.openxmlformats.org/officeDocument/2006/relationships/image" Target="media/image7.jpeg"/><Relationship Id="rId10" Type="http://schemas.openxmlformats.org/officeDocument/2006/relationships/hyperlink" Target="https://edu.gov.ru/national-project/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edu.gov.ru/national-project/" TargetMode="External"/><Relationship Id="rId14" Type="http://schemas.openxmlformats.org/officeDocument/2006/relationships/hyperlink" Target="https://edu.gov.ru/national-project/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5ACE-20B5-4F9B-AE21-6E9BF52A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Алескандр</dc:creator>
  <cp:keywords/>
  <dc:description/>
  <cp:lastModifiedBy>Алескандр</cp:lastModifiedBy>
  <cp:revision>2</cp:revision>
  <cp:lastPrinted>2020-04-20T09:51:00Z</cp:lastPrinted>
  <dcterms:created xsi:type="dcterms:W3CDTF">2020-04-20T09:30:00Z</dcterms:created>
  <dcterms:modified xsi:type="dcterms:W3CDTF">2020-04-20T09:52:00Z</dcterms:modified>
</cp:coreProperties>
</file>